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after="0" w:line="276" w:lineRule="auto"/>
        <w:rPr>
          <w:b/>
        </w:rPr>
      </w:pPr>
      <w:r>
        <w:rPr>
          <w:b/>
        </w:rPr>
        <w:t xml:space="preserve">РЕЗОЛЮЦИЯ</w:t>
      </w:r>
      <w:r>
        <w:rPr>
          <w:b/>
        </w:rPr>
      </w:r>
      <w:r>
        <w:rPr>
          <w:b/>
        </w:rPr>
      </w:r>
    </w:p>
    <w:p>
      <w:pPr>
        <w:jc w:val="center"/>
        <w:spacing w:before="0" w:after="0" w:line="276" w:lineRule="auto"/>
        <w:rPr>
          <w:b/>
        </w:rPr>
      </w:pPr>
      <w:r>
        <w:rPr>
          <w:b/>
        </w:rPr>
        <w:t xml:space="preserve">второго международного Каспийского </w:t>
      </w:r>
      <w:r>
        <w:rPr>
          <w:b/>
          <w:lang w:val="ru-RU"/>
        </w:rPr>
        <w:t xml:space="preserve">ц</w:t>
      </w:r>
      <w:r>
        <w:rPr>
          <w:b/>
        </w:rPr>
        <w:t xml:space="preserve">ифрового </w:t>
      </w:r>
      <w:r>
        <w:rPr>
          <w:b/>
          <w:lang w:val="ru-RU"/>
        </w:rPr>
        <w:t xml:space="preserve">ф</w:t>
      </w:r>
      <w:r>
        <w:rPr>
          <w:b/>
        </w:rPr>
        <w:t xml:space="preserve">орума</w:t>
      </w:r>
      <w:r>
        <w:rPr>
          <w:b/>
        </w:rPr>
      </w:r>
      <w:r>
        <w:rPr>
          <w:b/>
        </w:rPr>
      </w:r>
    </w:p>
    <w:p>
      <w:pPr>
        <w:jc w:val="center"/>
        <w:spacing w:before="0" w:after="0" w:line="276" w:lineRule="auto"/>
        <w:rPr>
          <w:i/>
        </w:rPr>
      </w:pPr>
      <w:r>
        <w:rPr>
          <w:i/>
        </w:rPr>
        <w:t xml:space="preserve">г. Каспийск, 31 октября </w:t>
      </w:r>
      <w:r>
        <w:rPr>
          <w:i/>
          <w:lang w:val="ru-RU"/>
        </w:rPr>
        <w:t xml:space="preserve">–</w:t>
      </w:r>
      <w:r>
        <w:rPr>
          <w:i/>
        </w:rPr>
        <w:t xml:space="preserve"> 1 ноября 2024 года</w:t>
      </w:r>
      <w:r>
        <w:rPr>
          <w:i/>
        </w:rPr>
      </w:r>
      <w:r>
        <w:rPr>
          <w:i/>
        </w:rPr>
      </w:r>
    </w:p>
    <w:p>
      <w:pPr>
        <w:jc w:val="center"/>
        <w:spacing w:before="0" w:after="0" w:line="276" w:lineRule="auto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700"/>
        <w:jc w:val="both"/>
        <w:spacing w:before="0" w:after="0" w:line="276" w:lineRule="auto"/>
      </w:pPr>
      <w:r>
        <w:t xml:space="preserve">31 октября – 1 ноября 2024 года в Республике Дагестан прошел </w:t>
      </w:r>
      <w:r>
        <w:rPr>
          <w:lang w:val="ru-RU"/>
        </w:rPr>
        <w:t xml:space="preserve">                                       </w:t>
      </w:r>
      <w:r>
        <w:rPr>
          <w:lang w:val="ru-RU"/>
        </w:rPr>
        <w:t xml:space="preserve">второй</w:t>
      </w:r>
      <w:r>
        <w:t xml:space="preserve"> международн</w:t>
      </w:r>
      <w:r>
        <w:t xml:space="preserve">ый</w:t>
      </w:r>
      <w:r>
        <w:t xml:space="preserve"> Каспийский цифровой форум. Форум является важным инструментом для ускорения цифрового развития стран Прикаспийского региона, что способствует укреплению экономики, стабильности и сотрудничества между </w:t>
      </w:r>
      <w:r>
        <w:rPr>
          <w:lang w:val="ru-RU"/>
        </w:rPr>
        <w:t xml:space="preserve">ними</w:t>
      </w:r>
      <w:r>
        <w:t xml:space="preserve">. В форуме приняли участие около 500 человек, в том числе из стран Прикаспийского региона (Чрезвычайный и По</w:t>
      </w:r>
      <w:r>
        <w:t xml:space="preserve">лномочный Посол Исламской Республики Иран в Российской Федерации Казем Джалали, Чрезвычайный и Полномочный Посол Республики Казахстан в Российской Федерации Д.А. Абаев, Торговый представитель Российской Федерации в Азербайджанской Республике Р.З. Мирсаяпов</w:t>
      </w:r>
      <w:r>
        <w:rPr>
          <w:lang w:val="ru-RU"/>
        </w:rPr>
        <w:t xml:space="preserve">, </w:t>
      </w:r>
      <w:r>
        <w:rPr>
          <w:lang w:val="ru-RU"/>
        </w:rPr>
        <w:t xml:space="preserve">торговые представители Российской Федерации в Прикаспийских государствах</w:t>
      </w:r>
      <w:r>
        <w:t xml:space="preserve">), а также из более</w:t>
      </w:r>
      <w:r>
        <w:rPr>
          <w:lang w:val="ru-RU"/>
        </w:rPr>
        <w:t xml:space="preserve"> </w:t>
      </w:r>
      <w:r>
        <w:t xml:space="preserve">20 субъектов Российской Федерации.</w:t>
      </w:r>
      <w:r/>
    </w:p>
    <w:p>
      <w:pPr>
        <w:ind w:firstLine="700"/>
        <w:jc w:val="both"/>
        <w:spacing w:before="0" w:after="0" w:line="276" w:lineRule="auto"/>
      </w:pPr>
      <w:r>
        <w:rPr>
          <w:b/>
        </w:rPr>
        <w:t xml:space="preserve">Деловая программа включала</w:t>
      </w:r>
      <w:r>
        <w:t xml:space="preserve"> панельную дискуссию и стратегические сессии, пленарное совещание, мастер-классы, а также Кубок Республики Дагестан по спортивному программированию, показательное выступление регионального отделения Федерации гонок дронов России.</w:t>
      </w:r>
      <w:r/>
    </w:p>
    <w:p>
      <w:pPr>
        <w:ind w:firstLine="700"/>
        <w:jc w:val="both"/>
        <w:spacing w:before="0" w:after="0" w:line="276" w:lineRule="auto"/>
      </w:pPr>
      <w:r>
        <w:t xml:space="preserve">Программа форума включала в себя проведение стратегически</w:t>
      </w:r>
      <w:r>
        <w:rPr>
          <w:lang w:val="ru-RU"/>
        </w:rPr>
        <w:t xml:space="preserve">х</w:t>
      </w:r>
      <w:r>
        <w:t xml:space="preserve"> сессий в формате рабочих групп по следующим отраслевым направлениям:</w:t>
      </w:r>
      <w:r/>
    </w:p>
    <w:p>
      <w:pPr>
        <w:ind w:firstLine="700"/>
        <w:jc w:val="both"/>
        <w:spacing w:before="0" w:after="0" w:line="276" w:lineRule="auto"/>
      </w:pPr>
      <w:r>
        <w:rPr>
          <w:lang w:val="ru-RU"/>
        </w:rPr>
        <w:t xml:space="preserve">«</w:t>
      </w:r>
      <w:r>
        <w:t xml:space="preserve">Дистанционное зондирование Земли: сервисы для стран Каспийского бассейна</w:t>
      </w:r>
      <w:r>
        <w:rPr>
          <w:lang w:val="ru-RU"/>
        </w:rPr>
        <w:t xml:space="preserve">»</w:t>
      </w:r>
      <w:r>
        <w:t xml:space="preserve">;</w:t>
      </w:r>
      <w:r/>
    </w:p>
    <w:p>
      <w:pPr>
        <w:ind w:firstLine="700"/>
        <w:jc w:val="both"/>
        <w:spacing w:before="0" w:after="0" w:line="276" w:lineRule="auto"/>
      </w:pPr>
      <w:r>
        <w:rPr>
          <w:lang w:val="ru-RU"/>
        </w:rPr>
        <w:t xml:space="preserve">«</w:t>
      </w:r>
      <w:r>
        <w:t xml:space="preserve">Трансграничное цифровое взаимодействие (Трансграничное взаимодействие. Международный цифровой хаб)</w:t>
      </w:r>
      <w:r>
        <w:rPr>
          <w:lang w:val="ru-RU"/>
        </w:rPr>
        <w:t xml:space="preserve">»</w:t>
      </w:r>
      <w:r>
        <w:t xml:space="preserve">;</w:t>
      </w:r>
      <w:r/>
    </w:p>
    <w:p>
      <w:pPr>
        <w:ind w:firstLine="700"/>
        <w:jc w:val="both"/>
        <w:spacing w:before="0" w:after="0" w:line="276" w:lineRule="auto"/>
      </w:pPr>
      <w:r>
        <w:rPr>
          <w:lang w:val="ru-RU"/>
        </w:rPr>
        <w:t xml:space="preserve">«</w:t>
      </w:r>
      <w:r>
        <w:t xml:space="preserve">Транспорт. Развитие цифровизации логистики МТК </w:t>
      </w:r>
      <w:r>
        <w:rPr>
          <w:lang w:val="ru-RU"/>
        </w:rPr>
        <w:t xml:space="preserve">«</w:t>
      </w:r>
      <w:r>
        <w:t xml:space="preserve">Север</w:t>
      </w:r>
      <w:r>
        <w:rPr>
          <w:lang w:val="ru-RU"/>
        </w:rPr>
        <w:t xml:space="preserve"> </w:t>
      </w:r>
      <w:r>
        <w:rPr>
          <w:lang w:val="ru-RU"/>
        </w:rPr>
        <w:t xml:space="preserve">–</w:t>
      </w:r>
      <w:r>
        <w:rPr>
          <w:lang w:val="ru-RU"/>
        </w:rPr>
        <w:t xml:space="preserve"> </w:t>
      </w:r>
      <w:r>
        <w:t xml:space="preserve">Юг</w:t>
      </w:r>
      <w:r>
        <w:rPr>
          <w:lang w:val="ru-RU"/>
        </w:rPr>
        <w:t xml:space="preserve">»</w:t>
      </w:r>
      <w:r>
        <w:t xml:space="preserve">;</w:t>
      </w:r>
      <w:r/>
    </w:p>
    <w:p>
      <w:pPr>
        <w:ind w:firstLine="700"/>
        <w:jc w:val="both"/>
        <w:spacing w:before="0" w:after="0" w:line="276" w:lineRule="auto"/>
      </w:pPr>
      <w:r>
        <w:rPr>
          <w:lang w:val="ru-RU"/>
        </w:rPr>
        <w:t xml:space="preserve">«</w:t>
      </w:r>
      <w:r>
        <w:t xml:space="preserve">Инфраструктура обслуживания (Развитие туристической отрасли в регионе и ее цифровизация. Технологии ИИ в маркетплейсах)</w:t>
      </w:r>
      <w:r>
        <w:rPr>
          <w:lang w:val="ru-RU"/>
        </w:rPr>
        <w:t xml:space="preserve">»</w:t>
      </w:r>
      <w:r>
        <w:t xml:space="preserve">.</w:t>
      </w:r>
      <w:r/>
    </w:p>
    <w:p>
      <w:pPr>
        <w:ind w:firstLine="700"/>
        <w:jc w:val="both"/>
        <w:spacing w:before="0" w:after="0" w:line="276" w:lineRule="auto"/>
      </w:pPr>
      <w:r>
        <w:t xml:space="preserve">Итогом мероприятия стали доклады представителей рабочих групп президиуму форума о результатах обсуждений в рамках стратегических сессий и разработанные предложения.</w:t>
      </w:r>
      <w:r>
        <w:t xml:space="preserve"> </w:t>
      </w:r>
      <w:r/>
    </w:p>
    <w:p>
      <w:pPr>
        <w:ind w:firstLine="700"/>
        <w:jc w:val="both"/>
        <w:spacing w:before="0" w:after="0" w:line="276" w:lineRule="auto"/>
      </w:pPr>
      <w:r>
        <w:t xml:space="preserve">Во время форума участники были распределены по отраслевым </w:t>
      </w:r>
      <w:r>
        <w:t xml:space="preserve">рабочим группам, в рамках работы которых коллеги обменялись информацией о текущем статусе готовности стран к реализации проектов в части разработки нормативной базы, наличия технологических и технических возможностей, материальной и ресурсной составляющих.</w:t>
      </w:r>
      <w:r/>
    </w:p>
    <w:p>
      <w:pPr>
        <w:ind w:firstLine="700"/>
        <w:jc w:val="both"/>
        <w:spacing w:before="0" w:after="0" w:line="276" w:lineRule="auto"/>
      </w:pPr>
      <w:r>
        <w:t xml:space="preserve">Молодежным событием форума стал турнир по спортивному программированию, организованный совместно с </w:t>
      </w:r>
      <w:r>
        <w:rPr>
          <w:lang w:val="ru-RU"/>
        </w:rPr>
        <w:t xml:space="preserve">р</w:t>
      </w:r>
      <w:r>
        <w:t xml:space="preserve">еспубликанским отделением Федерации спортивного программирования, в котором приняли участие более </w:t>
      </w:r>
      <w:r>
        <w:rPr>
          <w:lang w:val="ru-RU"/>
        </w:rPr>
        <w:t xml:space="preserve">        </w:t>
      </w:r>
      <w:r>
        <w:t xml:space="preserve">80 человек. Торжественное награждение победителей соревнований прошло во второй день форума. Также в рамках форума прошло показательное выступление регионального отделения Федерации гонок дронов России.</w:t>
      </w:r>
      <w:r/>
    </w:p>
    <w:p>
      <w:pPr>
        <w:ind w:firstLine="700"/>
        <w:jc w:val="both"/>
        <w:spacing w:before="0" w:after="0" w:line="276" w:lineRule="auto"/>
      </w:pPr>
      <w:r>
        <w:t xml:space="preserve">Также на форуме работала выставочная экспозиция. Ведущие ИТ-компании страны представили свои лучшие цифровые решения. Здесь же свои </w:t>
      </w:r>
      <w:r>
        <w:t xml:space="preserve">проекты представили жители Дагестана </w:t>
      </w:r>
      <w:r>
        <w:rPr>
          <w:lang w:val="ru-RU"/>
        </w:rPr>
        <w:t xml:space="preserve">– </w:t>
      </w:r>
      <w:r>
        <w:t xml:space="preserve">получатели грантов в сфере информационных технологий. </w:t>
      </w:r>
      <w:r>
        <w:rPr>
          <w:lang w:val="ru-RU"/>
        </w:rPr>
        <w:t xml:space="preserve">На</w:t>
      </w:r>
      <w:r>
        <w:t xml:space="preserve"> стенд</w:t>
      </w:r>
      <w:r>
        <w:rPr>
          <w:lang w:val="ru-RU"/>
        </w:rPr>
        <w:t xml:space="preserve">е</w:t>
      </w:r>
      <w:r>
        <w:t xml:space="preserve"> «Республика Дагестан» были продемонстрированы изделия народных художественных промыслов, а также презентован всесезонный туристско-рекреационный комплекс «Каспийский прибрежный кластер».</w:t>
      </w:r>
      <w:r/>
    </w:p>
    <w:p>
      <w:pPr>
        <w:ind w:firstLine="700"/>
        <w:jc w:val="both"/>
        <w:spacing w:before="0" w:after="0" w:line="276" w:lineRule="auto"/>
      </w:pPr>
      <w:r>
        <w:t xml:space="preserve">Кроме того, в рамках форума был</w:t>
      </w:r>
      <w:r>
        <w:rPr>
          <w:lang w:val="ru-RU"/>
        </w:rPr>
        <w:t xml:space="preserve">и</w:t>
      </w:r>
      <w:r>
        <w:t xml:space="preserve"> подписан</w:t>
      </w:r>
      <w:r>
        <w:rPr>
          <w:lang w:val="ru-RU"/>
        </w:rPr>
        <w:t xml:space="preserve">ы</w:t>
      </w:r>
      <w:r>
        <w:t xml:space="preserve"> </w:t>
      </w:r>
      <w:r>
        <w:t xml:space="preserve">соглашени</w:t>
      </w:r>
      <w:r>
        <w:rPr>
          <w:lang w:val="ru-RU"/>
        </w:rPr>
        <w:t xml:space="preserve">я</w:t>
      </w:r>
      <w:r>
        <w:t xml:space="preserve"> о сотрудничестве </w:t>
      </w:r>
      <w:r>
        <w:t xml:space="preserve">между АО «Р7» и Министерством цифрового развития Республики Калмыкия, Министерством транспорта, связи и цифрового развития Чеченской Республики, а также образовательными организациями высшего образования, функционирующими на территории Республики Дагестан.</w:t>
      </w:r>
      <w:r/>
    </w:p>
    <w:p>
      <w:pPr>
        <w:ind w:firstLine="700"/>
        <w:jc w:val="both"/>
        <w:spacing w:before="0" w:after="0" w:line="276" w:lineRule="auto"/>
        <w:rPr>
          <w:b/>
          <w:bCs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По итогам рассмотрения вопросов, </w:t>
      </w:r>
      <w:r>
        <w:rPr>
          <w:b w:val="0"/>
          <w:bCs w:val="0"/>
        </w:rPr>
        <w:t xml:space="preserve">которые были обозначены в рамках стратегический сессий, панельных </w:t>
      </w:r>
      <w:r>
        <w:rPr>
          <w:b w:val="0"/>
          <w:bCs w:val="0"/>
        </w:rPr>
        <w:t xml:space="preserve">дискуссий и рабочих встреч в рамках КЦФ.2024, </w:t>
      </w:r>
      <w:r>
        <w:rPr>
          <w:b/>
          <w:bCs/>
          <w:highlight w:val="none"/>
        </w:rPr>
        <w:t xml:space="preserve">у</w:t>
      </w:r>
      <w:r>
        <w:rPr>
          <w:b/>
          <w:bCs/>
          <w:highlight w:val="none"/>
        </w:rPr>
        <w:t xml:space="preserve">частниками форума предложено: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0"/>
        <w:jc w:val="both"/>
        <w:spacing w:before="0" w:after="0" w:line="276" w:lineRule="auto"/>
        <w:rPr>
          <w:highlight w:val="none"/>
        </w:rPr>
      </w:pPr>
      <w:r>
        <w:t xml:space="preserve">– подготовить предложения по </w:t>
      </w:r>
      <w:r>
        <w:t xml:space="preserve">формированию пятисторонней рабочей группы в формате </w:t>
      </w:r>
      <w:r>
        <w:rPr>
          <w:highlight w:val="white"/>
        </w:rPr>
        <w:t xml:space="preserve">координационного совещательного органа (транснациональный международный оператор)</w:t>
      </w:r>
      <w:r>
        <w:t xml:space="preserve"> из представителей Прикаспийских стран с целью формирования </w:t>
      </w:r>
      <w:r>
        <w:rPr>
          <w:highlight w:val="white"/>
        </w:rPr>
        <w:t xml:space="preserve">инициатив, направленных на автоматизацию процессов международного цифрового взаимодействия в рамках </w:t>
      </w:r>
      <w:r>
        <w:rPr>
          <w:highlight w:val="white"/>
          <w:lang w:val="ru-RU"/>
        </w:rPr>
        <w:t xml:space="preserve">Прик</w:t>
      </w:r>
      <w:r>
        <w:rPr>
          <w:highlight w:val="white"/>
        </w:rPr>
        <w:t xml:space="preserve">аспийского региона, стандартизацией международных электронных документов в сфере транспорта и обмена информацией</w:t>
      </w:r>
      <w:r>
        <w:t xml:space="preserve"> применения электронных товарно-транспортных накладных (e-cmr), взаимного признания электронных подписей между ст</w:t>
      </w:r>
      <w:r>
        <w:t xml:space="preserve">ранами Прикаспийского региона, разработки требований к документам разных видов перевозок (мультимодальных перевозок), включая осуществление государственного контроля;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0"/>
        <w:jc w:val="both"/>
        <w:spacing w:before="0" w:after="0" w:line="276" w:lineRule="auto"/>
        <w:rPr>
          <w:highlight w:val="none"/>
        </w:rPr>
      </w:pPr>
      <w:r>
        <w:t xml:space="preserve">– разработать предложения по </w:t>
      </w:r>
      <w:r>
        <w:rPr>
          <w:lang w:val="ru-RU"/>
        </w:rPr>
        <w:t xml:space="preserve">реализации</w:t>
      </w:r>
      <w:r>
        <w:t xml:space="preserve"> пилотного проекта по использованию института доверенной третьей стороны при организации международного взаимодействия между Российской Федерацией и Республикой Казахстан через </w:t>
      </w:r>
      <w:r>
        <w:rPr>
          <w:highlight w:val="none"/>
        </w:rPr>
        <w:t xml:space="preserve">Махачкалинский морской торговый порт</w:t>
      </w:r>
      <w:r>
        <w:rPr>
          <w:highlight w:val="none"/>
          <w:lang w:val="ru-RU"/>
        </w:rPr>
        <w:t xml:space="preserve">;</w:t>
      </w:r>
      <w:r>
        <w:rPr>
          <w:highlight w:val="none"/>
          <w:lang w:val="ru-RU"/>
        </w:rPr>
      </w:r>
      <w:r>
        <w:rPr>
          <w:highlight w:val="none"/>
        </w:rPr>
      </w:r>
    </w:p>
    <w:p>
      <w:pPr>
        <w:ind w:firstLine="700"/>
        <w:jc w:val="both"/>
        <w:spacing w:before="0" w:after="0" w:line="276" w:lineRule="auto"/>
        <w:rPr>
          <w:highlight w:val="none"/>
        </w:rPr>
      </w:pPr>
      <w:r>
        <w:rPr>
          <w:highlight w:val="none"/>
          <w:lang w:val="ru-RU"/>
        </w:rPr>
        <w:t xml:space="preserve">– сформировать </w:t>
      </w:r>
      <w:r>
        <w:rPr>
          <w:highlight w:val="none"/>
        </w:rPr>
        <w:t xml:space="preserve">перечень отраслевых компан</w:t>
      </w:r>
      <w:r>
        <w:rPr>
          <w:highlight w:val="none"/>
        </w:rPr>
        <w:t xml:space="preserve">ий, выразивших заинтересованность в реализации </w:t>
      </w:r>
      <w:r>
        <w:rPr>
          <w:highlight w:val="none"/>
        </w:rPr>
        <w:t xml:space="preserve">международного цифрового образовательного центра (ИТ хаба)</w:t>
      </w:r>
      <w:r>
        <w:rPr>
          <w:highlight w:val="none"/>
        </w:rPr>
        <w:t xml:space="preserve"> на территории Республики Дагестан для подготовки кадров по цифровым и иным компетенциям, востребованным в том числе при реализации проекта</w:t>
      </w:r>
      <w:r>
        <w:rPr>
          <w:highlight w:val="none"/>
        </w:rPr>
        <w:t xml:space="preserve"> МТК «Север–Юг»</w:t>
      </w:r>
      <w:r>
        <w:rPr>
          <w:highlight w:val="none"/>
          <w:lang w:val="ru-RU"/>
        </w:rPr>
        <w:t xml:space="preserve">;</w:t>
      </w:r>
      <w:r>
        <w:rPr>
          <w:highlight w:val="none"/>
          <w:lang w:val="ru-RU"/>
        </w:rPr>
      </w:r>
      <w:r>
        <w:rPr>
          <w:highlight w:val="none"/>
        </w:rPr>
      </w:r>
    </w:p>
    <w:p>
      <w:pPr>
        <w:ind w:firstLine="700"/>
        <w:jc w:val="both"/>
        <w:spacing w:before="0" w:after="0" w:line="276" w:lineRule="auto"/>
      </w:pPr>
      <w:r>
        <w:t xml:space="preserve">– подготовить предложения по реализации пилотного проекта по использованию единой цифровой платформы в сфере туризма на территории Республики Дагестан, а также механизмов интеграции региональных цифровых решений с платформой</w:t>
      </w:r>
      <w:r>
        <w:t xml:space="preserve">.</w:t>
      </w:r>
      <w:r>
        <w:rPr>
          <w:b/>
        </w:rPr>
      </w:r>
      <w:r/>
    </w:p>
    <w:sectPr>
      <w:headerReference w:type="default" r:id="rId8"/>
      <w:footnotePr/>
      <w:endnotePr/>
      <w:type w:val="nextPage"/>
      <w:pgSz w:w="11909" w:h="16834" w:orient="portrait"/>
      <w:pgMar w:top="1276" w:right="851" w:bottom="1385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 w:line="240" w:lineRule="auto"/>
      </w:pPr>
      <w:r>
        <w:separator/>
      </w:r>
      <w:r/>
    </w:p>
  </w:endnote>
  <w:endnote w:type="continuationSeparator" w:id="0">
    <w:p>
      <w:pPr>
        <w:spacing w:before="0"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2150913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ru-RU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" w:eastAsia="ru-RU" w:bidi="ar-SA"/>
      </w:rPr>
    </w:rPrDefault>
    <w:pPrDefault>
      <w:pPr>
        <w:jc w:val="right"/>
        <w:spacing w:before="240" w:beforeAutospacing="0" w:after="24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55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1"/>
    <w:link w:val="856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1"/>
    <w:link w:val="857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1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1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1"/>
    <w:link w:val="86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1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1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1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4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61"/>
    <w:link w:val="865"/>
    <w:uiPriority w:val="10"/>
    <w:rPr>
      <w:sz w:val="48"/>
      <w:szCs w:val="48"/>
    </w:rPr>
  </w:style>
  <w:style w:type="character" w:styleId="701">
    <w:name w:val="Subtitle Char"/>
    <w:basedOn w:val="861"/>
    <w:link w:val="866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1"/>
    <w:link w:val="867"/>
    <w:uiPriority w:val="99"/>
  </w:style>
  <w:style w:type="character" w:styleId="707">
    <w:name w:val="Footer Char"/>
    <w:basedOn w:val="861"/>
    <w:link w:val="869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61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61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61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paragraph" w:styleId="855">
    <w:name w:val="Heading 1"/>
    <w:basedOn w:val="854"/>
    <w:next w:val="854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6">
    <w:name w:val="Heading 2"/>
    <w:basedOn w:val="854"/>
    <w:next w:val="854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7">
    <w:name w:val="Heading 3"/>
    <w:basedOn w:val="854"/>
    <w:next w:val="854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</w:rPr>
  </w:style>
  <w:style w:type="paragraph" w:styleId="858">
    <w:name w:val="Heading 4"/>
    <w:basedOn w:val="854"/>
    <w:next w:val="854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9">
    <w:name w:val="Heading 5"/>
    <w:basedOn w:val="854"/>
    <w:next w:val="854"/>
    <w:uiPriority w:val="9"/>
    <w:semiHidden/>
    <w:unhideWhenUsed/>
    <w:qFormat/>
    <w:pPr>
      <w:keepLines/>
      <w:keepNext/>
      <w:spacing w:after="80"/>
      <w:outlineLvl w:val="4"/>
    </w:pPr>
    <w:rPr>
      <w:color w:val="666666"/>
      <w:sz w:val="22"/>
      <w:szCs w:val="22"/>
    </w:rPr>
  </w:style>
  <w:style w:type="paragraph" w:styleId="860">
    <w:name w:val="Heading 6"/>
    <w:basedOn w:val="854"/>
    <w:next w:val="854"/>
    <w:uiPriority w:val="9"/>
    <w:semiHidden/>
    <w:unhideWhenUsed/>
    <w:qFormat/>
    <w:pPr>
      <w:keepLines/>
      <w:keepNext/>
      <w:spacing w:after="80"/>
      <w:outlineLvl w:val="5"/>
    </w:pPr>
    <w:rPr>
      <w:i/>
      <w:color w:val="666666"/>
      <w:sz w:val="22"/>
      <w:szCs w:val="2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5">
    <w:name w:val="Title"/>
    <w:basedOn w:val="854"/>
    <w:next w:val="854"/>
    <w:uiPriority w:val="10"/>
    <w:qFormat/>
    <w:pPr>
      <w:keepLines/>
      <w:keepNext/>
      <w:spacing w:before="0" w:after="60"/>
    </w:pPr>
    <w:rPr>
      <w:sz w:val="52"/>
      <w:szCs w:val="52"/>
    </w:rPr>
  </w:style>
  <w:style w:type="paragraph" w:styleId="866">
    <w:name w:val="Subtitle"/>
    <w:basedOn w:val="854"/>
    <w:next w:val="854"/>
    <w:uiPriority w:val="11"/>
    <w:qFormat/>
    <w:pPr>
      <w:keepLines/>
      <w:keepNext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867">
    <w:name w:val="Header"/>
    <w:basedOn w:val="854"/>
    <w:link w:val="868"/>
    <w:uiPriority w:val="99"/>
    <w:unhideWhenUsed/>
    <w:pPr>
      <w:spacing w:before="0"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61"/>
    <w:link w:val="867"/>
    <w:uiPriority w:val="99"/>
  </w:style>
  <w:style w:type="paragraph" w:styleId="869">
    <w:name w:val="Footer"/>
    <w:basedOn w:val="854"/>
    <w:link w:val="870"/>
    <w:uiPriority w:val="99"/>
    <w:unhideWhenUsed/>
    <w:pPr>
      <w:spacing w:before="0"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61"/>
    <w:link w:val="869"/>
    <w:uiPriority w:val="99"/>
  </w:style>
  <w:style w:type="paragraph" w:styleId="871">
    <w:name w:val="Balloon Text"/>
    <w:basedOn w:val="854"/>
    <w:link w:val="872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861"/>
    <w:link w:val="87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anisa</cp:lastModifiedBy>
  <cp:revision>18</cp:revision>
  <dcterms:created xsi:type="dcterms:W3CDTF">2025-01-09T13:20:00Z</dcterms:created>
  <dcterms:modified xsi:type="dcterms:W3CDTF">2025-06-26T13:58:11Z</dcterms:modified>
</cp:coreProperties>
</file>